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87E" w:rsidRDefault="00C2416E" w:rsidP="00C2416E">
      <w:pPr>
        <w:spacing w:line="276" w:lineRule="auto"/>
      </w:pPr>
      <w:proofErr w:type="spellStart"/>
      <w:r w:rsidRPr="00C2416E">
        <w:rPr>
          <w:b/>
        </w:rPr>
        <w:t>P</w:t>
      </w:r>
      <w:r w:rsidRPr="00C2416E">
        <w:rPr>
          <w:b/>
        </w:rPr>
        <w:t>eripeteia</w:t>
      </w:r>
      <w:proofErr w:type="spellEnd"/>
      <w:r>
        <w:t xml:space="preserve"> – the reversal of the situation, a change by which the action veers around to its opposite.  In modern terms, we might consider this “tragic irony.” Occurs at the climax.</w:t>
      </w:r>
    </w:p>
    <w:p w:rsidR="00C2416E" w:rsidRDefault="00C2416E" w:rsidP="00C2416E">
      <w:pPr>
        <w:spacing w:line="276" w:lineRule="auto"/>
      </w:pPr>
      <w:proofErr w:type="spellStart"/>
      <w:r w:rsidRPr="00C2416E">
        <w:rPr>
          <w:b/>
        </w:rPr>
        <w:t>A</w:t>
      </w:r>
      <w:r w:rsidRPr="00C2416E">
        <w:rPr>
          <w:b/>
        </w:rPr>
        <w:t>nagnorisis</w:t>
      </w:r>
      <w:proofErr w:type="spellEnd"/>
      <w:r>
        <w:t xml:space="preserve"> – recognition, a change from ignorance to knowledge, producing love or hate between the persons destined by the poet for good or bad fortune.</w:t>
      </w:r>
    </w:p>
    <w:p w:rsidR="00C2416E" w:rsidRDefault="00C2416E" w:rsidP="00C2416E">
      <w:pPr>
        <w:spacing w:line="276" w:lineRule="auto"/>
      </w:pPr>
      <w:r w:rsidRPr="00C2416E">
        <w:rPr>
          <w:b/>
        </w:rPr>
        <w:t>Catastrophe</w:t>
      </w:r>
      <w:r>
        <w:t xml:space="preserve"> – the scene of suffering is a destructive or painful action, such as death on the stage, bodily agony, would, and the like.</w:t>
      </w:r>
    </w:p>
    <w:p w:rsidR="00C2416E" w:rsidRDefault="00C2416E" w:rsidP="00C2416E">
      <w:pPr>
        <w:spacing w:line="276" w:lineRule="auto"/>
      </w:pPr>
      <w:r w:rsidRPr="00C2416E">
        <w:rPr>
          <w:b/>
        </w:rPr>
        <w:t>Tragic Characters</w:t>
      </w:r>
      <w:r>
        <w:t xml:space="preserve"> – acceptable to the audience, understandable, believable. </w:t>
      </w:r>
    </w:p>
    <w:p w:rsidR="00C2416E" w:rsidRPr="00D160C2" w:rsidRDefault="00C2416E" w:rsidP="00C2416E">
      <w:pPr>
        <w:spacing w:line="276" w:lineRule="auto"/>
      </w:pPr>
      <w:r w:rsidRPr="00D160C2">
        <w:t xml:space="preserve">Tragic Downfall - </w:t>
      </w:r>
      <w:bookmarkStart w:id="0" w:name="_GoBack"/>
      <w:bookmarkEnd w:id="0"/>
    </w:p>
    <w:p w:rsidR="00C2416E" w:rsidRDefault="00C2416E" w:rsidP="00C2416E">
      <w:pPr>
        <w:spacing w:line="276" w:lineRule="auto"/>
      </w:pPr>
      <w:r>
        <w:tab/>
      </w:r>
      <w:r w:rsidRPr="00C2416E">
        <w:rPr>
          <w:b/>
        </w:rPr>
        <w:t>Hamartia</w:t>
      </w:r>
      <w:r>
        <w:t xml:space="preserve"> – the tragic flaw</w:t>
      </w:r>
    </w:p>
    <w:p w:rsidR="00C2416E" w:rsidRDefault="00C2416E" w:rsidP="00C2416E">
      <w:pPr>
        <w:spacing w:line="276" w:lineRule="auto"/>
      </w:pPr>
      <w:r>
        <w:tab/>
      </w:r>
      <w:r w:rsidRPr="00C2416E">
        <w:rPr>
          <w:b/>
        </w:rPr>
        <w:t>Fate</w:t>
      </w:r>
      <w:r>
        <w:t xml:space="preserve"> – </w:t>
      </w:r>
    </w:p>
    <w:p w:rsidR="00C2416E" w:rsidRPr="00D160C2" w:rsidRDefault="00C2416E" w:rsidP="00C2416E">
      <w:pPr>
        <w:spacing w:line="276" w:lineRule="auto"/>
      </w:pPr>
      <w:r w:rsidRPr="00D160C2">
        <w:t xml:space="preserve">Audience – </w:t>
      </w:r>
    </w:p>
    <w:p w:rsidR="00C2416E" w:rsidRDefault="00C2416E" w:rsidP="00C2416E">
      <w:pPr>
        <w:spacing w:line="276" w:lineRule="auto"/>
        <w:ind w:left="720"/>
      </w:pPr>
      <w:proofErr w:type="spellStart"/>
      <w:r w:rsidRPr="00C2416E">
        <w:rPr>
          <w:b/>
        </w:rPr>
        <w:t>Katharsis</w:t>
      </w:r>
      <w:proofErr w:type="spellEnd"/>
      <w:r>
        <w:t xml:space="preserve"> (or Catharsis) – the </w:t>
      </w:r>
      <w:proofErr w:type="spellStart"/>
      <w:r>
        <w:t>playwrite</w:t>
      </w:r>
      <w:proofErr w:type="spellEnd"/>
      <w:r>
        <w:t xml:space="preserve"> creates pity and fear to cleanse and purge the audience of these emotions.</w:t>
      </w:r>
    </w:p>
    <w:p w:rsidR="00C2416E" w:rsidRDefault="00C2416E" w:rsidP="00C2416E">
      <w:pPr>
        <w:spacing w:line="276" w:lineRule="auto"/>
      </w:pPr>
    </w:p>
    <w:tbl>
      <w:tblPr>
        <w:tblStyle w:val="TableGrid"/>
        <w:tblW w:w="9663" w:type="dxa"/>
        <w:tblLook w:val="04A0" w:firstRow="1" w:lastRow="0" w:firstColumn="1" w:lastColumn="0" w:noHBand="0" w:noVBand="1"/>
      </w:tblPr>
      <w:tblGrid>
        <w:gridCol w:w="1613"/>
        <w:gridCol w:w="3914"/>
        <w:gridCol w:w="4136"/>
      </w:tblGrid>
      <w:tr w:rsidR="00C2416E" w:rsidTr="00D160C2">
        <w:trPr>
          <w:trHeight w:val="281"/>
        </w:trPr>
        <w:tc>
          <w:tcPr>
            <w:tcW w:w="1613" w:type="dxa"/>
            <w:vAlign w:val="center"/>
          </w:tcPr>
          <w:p w:rsidR="00C2416E" w:rsidRPr="00C2416E" w:rsidRDefault="00C2416E" w:rsidP="00826490">
            <w:pPr>
              <w:jc w:val="center"/>
              <w:rPr>
                <w:b/>
              </w:rPr>
            </w:pPr>
            <w:r w:rsidRPr="00C2416E">
              <w:rPr>
                <w:b/>
              </w:rPr>
              <w:t>Conflict</w:t>
            </w:r>
          </w:p>
        </w:tc>
        <w:tc>
          <w:tcPr>
            <w:tcW w:w="3914" w:type="dxa"/>
            <w:vAlign w:val="center"/>
          </w:tcPr>
          <w:p w:rsidR="00C2416E" w:rsidRPr="00C2416E" w:rsidRDefault="00C2416E" w:rsidP="00826490">
            <w:pPr>
              <w:jc w:val="center"/>
              <w:rPr>
                <w:b/>
              </w:rPr>
            </w:pPr>
            <w:r w:rsidRPr="00C2416E">
              <w:rPr>
                <w:b/>
              </w:rPr>
              <w:t>Resolution</w:t>
            </w:r>
          </w:p>
        </w:tc>
        <w:tc>
          <w:tcPr>
            <w:tcW w:w="4136" w:type="dxa"/>
            <w:vAlign w:val="center"/>
          </w:tcPr>
          <w:p w:rsidR="00C2416E" w:rsidRPr="00C2416E" w:rsidRDefault="00C2416E" w:rsidP="00826490">
            <w:pPr>
              <w:jc w:val="center"/>
              <w:rPr>
                <w:b/>
              </w:rPr>
            </w:pPr>
            <w:r w:rsidRPr="00C2416E">
              <w:rPr>
                <w:b/>
              </w:rPr>
              <w:t>Theme</w:t>
            </w:r>
          </w:p>
        </w:tc>
      </w:tr>
      <w:tr w:rsidR="00C2416E" w:rsidTr="00D160C2">
        <w:trPr>
          <w:trHeight w:val="1205"/>
        </w:trPr>
        <w:tc>
          <w:tcPr>
            <w:tcW w:w="1613" w:type="dxa"/>
            <w:vAlign w:val="center"/>
          </w:tcPr>
          <w:p w:rsidR="00C2416E" w:rsidRDefault="00826490" w:rsidP="00826490">
            <w:pPr>
              <w:jc w:val="center"/>
            </w:pPr>
            <w:r>
              <w:t>Individual vs. State</w:t>
            </w:r>
          </w:p>
        </w:tc>
        <w:tc>
          <w:tcPr>
            <w:tcW w:w="3914" w:type="dxa"/>
          </w:tcPr>
          <w:p w:rsidR="00C2416E" w:rsidRDefault="00C2416E"/>
        </w:tc>
        <w:tc>
          <w:tcPr>
            <w:tcW w:w="4136" w:type="dxa"/>
          </w:tcPr>
          <w:p w:rsidR="00C2416E" w:rsidRDefault="00C2416E"/>
        </w:tc>
      </w:tr>
      <w:tr w:rsidR="00C2416E" w:rsidTr="00D160C2">
        <w:trPr>
          <w:trHeight w:val="1327"/>
        </w:trPr>
        <w:tc>
          <w:tcPr>
            <w:tcW w:w="1613" w:type="dxa"/>
            <w:vAlign w:val="center"/>
          </w:tcPr>
          <w:p w:rsidR="00C2416E" w:rsidRDefault="00826490" w:rsidP="00826490">
            <w:pPr>
              <w:jc w:val="center"/>
            </w:pPr>
            <w:r>
              <w:t>Conscience vs. Law</w:t>
            </w:r>
          </w:p>
        </w:tc>
        <w:tc>
          <w:tcPr>
            <w:tcW w:w="3914" w:type="dxa"/>
          </w:tcPr>
          <w:p w:rsidR="00C2416E" w:rsidRDefault="00C2416E"/>
        </w:tc>
        <w:tc>
          <w:tcPr>
            <w:tcW w:w="4136" w:type="dxa"/>
          </w:tcPr>
          <w:p w:rsidR="00C2416E" w:rsidRDefault="00C2416E"/>
        </w:tc>
      </w:tr>
      <w:tr w:rsidR="00C2416E" w:rsidTr="00D160C2">
        <w:trPr>
          <w:trHeight w:val="1205"/>
        </w:trPr>
        <w:tc>
          <w:tcPr>
            <w:tcW w:w="1613" w:type="dxa"/>
            <w:vAlign w:val="center"/>
          </w:tcPr>
          <w:p w:rsidR="00C2416E" w:rsidRDefault="00826490" w:rsidP="00826490">
            <w:pPr>
              <w:jc w:val="center"/>
            </w:pPr>
            <w:r>
              <w:t>Divine Law vs. Human Law</w:t>
            </w:r>
          </w:p>
        </w:tc>
        <w:tc>
          <w:tcPr>
            <w:tcW w:w="3914" w:type="dxa"/>
          </w:tcPr>
          <w:p w:rsidR="00C2416E" w:rsidRDefault="00C2416E"/>
        </w:tc>
        <w:tc>
          <w:tcPr>
            <w:tcW w:w="4136" w:type="dxa"/>
          </w:tcPr>
          <w:p w:rsidR="00C2416E" w:rsidRDefault="00C2416E"/>
        </w:tc>
      </w:tr>
      <w:tr w:rsidR="00C2416E" w:rsidTr="00D160C2">
        <w:trPr>
          <w:trHeight w:val="1327"/>
        </w:trPr>
        <w:tc>
          <w:tcPr>
            <w:tcW w:w="1613" w:type="dxa"/>
            <w:vAlign w:val="center"/>
          </w:tcPr>
          <w:p w:rsidR="00C2416E" w:rsidRDefault="00826490" w:rsidP="00826490">
            <w:pPr>
              <w:jc w:val="center"/>
            </w:pPr>
            <w:r>
              <w:t>Familial Loyalty vs. Civil Obedience</w:t>
            </w:r>
          </w:p>
        </w:tc>
        <w:tc>
          <w:tcPr>
            <w:tcW w:w="3914" w:type="dxa"/>
          </w:tcPr>
          <w:p w:rsidR="00C2416E" w:rsidRDefault="00C2416E"/>
        </w:tc>
        <w:tc>
          <w:tcPr>
            <w:tcW w:w="4136" w:type="dxa"/>
          </w:tcPr>
          <w:p w:rsidR="00C2416E" w:rsidRDefault="00C2416E"/>
        </w:tc>
      </w:tr>
      <w:tr w:rsidR="00C2416E" w:rsidTr="00D160C2">
        <w:trPr>
          <w:trHeight w:val="1205"/>
        </w:trPr>
        <w:tc>
          <w:tcPr>
            <w:tcW w:w="1613" w:type="dxa"/>
            <w:vAlign w:val="center"/>
          </w:tcPr>
          <w:p w:rsidR="00C2416E" w:rsidRDefault="00826490" w:rsidP="00826490">
            <w:pPr>
              <w:jc w:val="center"/>
            </w:pPr>
            <w:r>
              <w:t>Female Independence vs. Submission</w:t>
            </w:r>
          </w:p>
        </w:tc>
        <w:tc>
          <w:tcPr>
            <w:tcW w:w="3914" w:type="dxa"/>
          </w:tcPr>
          <w:p w:rsidR="00C2416E" w:rsidRDefault="00C2416E"/>
        </w:tc>
        <w:tc>
          <w:tcPr>
            <w:tcW w:w="4136" w:type="dxa"/>
          </w:tcPr>
          <w:p w:rsidR="00C2416E" w:rsidRDefault="00C2416E"/>
        </w:tc>
      </w:tr>
    </w:tbl>
    <w:p w:rsidR="00C2416E" w:rsidRDefault="00C2416E"/>
    <w:sectPr w:rsidR="00C2416E" w:rsidSect="00D160C2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A80" w:rsidRDefault="00E95A80" w:rsidP="00D160C2">
      <w:pPr>
        <w:spacing w:after="0" w:line="240" w:lineRule="auto"/>
      </w:pPr>
      <w:r>
        <w:separator/>
      </w:r>
    </w:p>
  </w:endnote>
  <w:endnote w:type="continuationSeparator" w:id="0">
    <w:p w:rsidR="00E95A80" w:rsidRDefault="00E95A80" w:rsidP="00D16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A80" w:rsidRDefault="00E95A80" w:rsidP="00D160C2">
      <w:pPr>
        <w:spacing w:after="0" w:line="240" w:lineRule="auto"/>
      </w:pPr>
      <w:r>
        <w:separator/>
      </w:r>
    </w:p>
  </w:footnote>
  <w:footnote w:type="continuationSeparator" w:id="0">
    <w:p w:rsidR="00E95A80" w:rsidRDefault="00E95A80" w:rsidP="00D16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0C2" w:rsidRDefault="00D160C2">
    <w:pPr>
      <w:pStyle w:val="Header"/>
    </w:pPr>
  </w:p>
  <w:p w:rsidR="00D160C2" w:rsidRDefault="00D160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0C2" w:rsidRPr="00D160C2" w:rsidRDefault="00D160C2">
    <w:pPr>
      <w:pStyle w:val="Header"/>
      <w:rPr>
        <w:i/>
      </w:rPr>
    </w:pPr>
    <w:r>
      <w:t>AP Lit. &amp; Comp.</w:t>
    </w:r>
    <w:r>
      <w:tab/>
    </w:r>
    <w:r>
      <w:tab/>
    </w:r>
    <w:r>
      <w:rPr>
        <w:i/>
      </w:rPr>
      <w:t>Antigone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16E"/>
    <w:rsid w:val="00136A4C"/>
    <w:rsid w:val="007C382E"/>
    <w:rsid w:val="00826490"/>
    <w:rsid w:val="00A9687E"/>
    <w:rsid w:val="00C2416E"/>
    <w:rsid w:val="00D160C2"/>
    <w:rsid w:val="00E9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C596DB-D3ED-4331-B810-FDE2E8E2F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A4C"/>
  </w:style>
  <w:style w:type="paragraph" w:styleId="Heading1">
    <w:name w:val="heading 1"/>
    <w:basedOn w:val="Normal"/>
    <w:next w:val="Normal"/>
    <w:link w:val="Heading1Char"/>
    <w:uiPriority w:val="9"/>
    <w:qFormat/>
    <w:rsid w:val="00136A4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6A4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6A4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6A4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6A4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6A4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6A4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6A4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6A4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6A4C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6A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6A4C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6A4C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6A4C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6A4C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6A4C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6A4C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6A4C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36A4C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136A4C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36A4C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6A4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36A4C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136A4C"/>
    <w:rPr>
      <w:b/>
      <w:bCs/>
    </w:rPr>
  </w:style>
  <w:style w:type="character" w:styleId="Emphasis">
    <w:name w:val="Emphasis"/>
    <w:basedOn w:val="DefaultParagraphFont"/>
    <w:uiPriority w:val="20"/>
    <w:qFormat/>
    <w:rsid w:val="00136A4C"/>
    <w:rPr>
      <w:i/>
      <w:iCs/>
    </w:rPr>
  </w:style>
  <w:style w:type="paragraph" w:styleId="NoSpacing">
    <w:name w:val="No Spacing"/>
    <w:uiPriority w:val="1"/>
    <w:qFormat/>
    <w:rsid w:val="00136A4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36A4C"/>
    <w:pPr>
      <w:spacing w:before="120" w:after="120"/>
      <w:ind w:left="720"/>
    </w:pPr>
    <w:rPr>
      <w:color w:val="44546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136A4C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36A4C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36A4C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136A4C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36A4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36A4C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136A4C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136A4C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36A4C"/>
    <w:pPr>
      <w:outlineLvl w:val="9"/>
    </w:pPr>
  </w:style>
  <w:style w:type="table" w:styleId="TableGrid">
    <w:name w:val="Table Grid"/>
    <w:basedOn w:val="TableNormal"/>
    <w:uiPriority w:val="39"/>
    <w:rsid w:val="00C24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6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0C2"/>
  </w:style>
  <w:style w:type="paragraph" w:styleId="Footer">
    <w:name w:val="footer"/>
    <w:basedOn w:val="Normal"/>
    <w:link w:val="FooterChar"/>
    <w:uiPriority w:val="99"/>
    <w:unhideWhenUsed/>
    <w:rsid w:val="00D16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0C2"/>
  </w:style>
  <w:style w:type="paragraph" w:styleId="BalloonText">
    <w:name w:val="Balloon Text"/>
    <w:basedOn w:val="Normal"/>
    <w:link w:val="BalloonTextChar"/>
    <w:uiPriority w:val="99"/>
    <w:semiHidden/>
    <w:unhideWhenUsed/>
    <w:rsid w:val="00D16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0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Shumway</dc:creator>
  <cp:keywords/>
  <dc:description/>
  <cp:lastModifiedBy>Tim Shumway</cp:lastModifiedBy>
  <cp:revision>1</cp:revision>
  <cp:lastPrinted>2014-11-06T17:10:00Z</cp:lastPrinted>
  <dcterms:created xsi:type="dcterms:W3CDTF">2014-11-06T16:33:00Z</dcterms:created>
  <dcterms:modified xsi:type="dcterms:W3CDTF">2014-11-06T17:10:00Z</dcterms:modified>
</cp:coreProperties>
</file>